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fa9a9357d4b04e3f"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37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PROGRES TRANSILVAN</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Smart Village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Acțiunile propuse a fi finanțate prin intermediul proiectului trebuie să fie în conformitate cu acțiunile prevăzute în strategia Smart Village locale ale UAT-ului în care se implementează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Metodologie de verificare:</w:t>
            </w:r>
            <w:r>
              <w:rPr>
                <w:rFonts w:ascii="Cambria" w:hAnsi="Cambria"/>
                <w:b w:val="false"/>
                <w:sz w:val="24"/>
              </w:rPr>
              <w:t>- Compararea obiectivelor și activităților proiectului cu acțiunile și direcțiile de intervenție prevăzute în Strategia Smart Village a UAT-ului sau în componenta SMART-VILLAGE din strategia locală.- Consultarea documentului strategic relevant (Strategia Smart Village sau SDL-ul UAT-ului), pentru a verifica corespondența cu acțiunile propuse.</w:t>
            </w:r>
            <w:r>
              <w:rPr>
                <w:rFonts w:ascii="Cambria Bold" w:hAnsi="Cambria Bold"/>
                <w:b/>
                <w:sz w:val="24"/>
              </w:rPr>
              <w:t>Documente obligatorii:</w:t>
            </w:r>
            <w:r>
              <w:rPr>
                <w:rFonts w:ascii="Cambria" w:hAnsi="Cambria"/>
                <w:b w:val="false"/>
                <w:sz w:val="24"/>
              </w:rPr>
              <w:t>- Extras relevant din Strategia Smart Village sau din componenta SMART- VILLAGE a strategiei locale, care justifică alinierea proiectului cu acțiunile prevăzute.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Proiectul propune soluții smart (soluții noi, inovatoare, ‘out of the box’) care se diferențiază de soluțiile clasice pentru problemele comunității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Metodologie de verificare:</w:t>
            </w:r>
            <w:r>
              <w:rPr>
                <w:rFonts w:ascii="Cambria" w:hAnsi="Cambria"/>
                <w:b w:val="false"/>
                <w:sz w:val="24"/>
              </w:rPr>
              <w:t>- Identificarea elementelor de noutate: Se analizează descrierea tehnică a proiectului pentru a identifica componente, tehnologii, metode sau procese care se abat de la soluțiile convenționale utilizate în mod curent.- Compararea cu soluțiile tradiționale: Se realizează o analiză comparativă între soluția propusă și o soluție clasică, pe baza descrierii oferite de solicitant sau prin raportare la practica uzuală cunoscută.- Verificarea caracterului inovator: Se evaluează dacă soluția aduce un element de inovație tehnologică, metodologică sau organizațională, carecontribuie la creșterea eficienței, accesibilității, transparenței sau sustenabilității intervenției.- Evaluarea contribuției la conceptul SMART: Se verifică dacă soluția respectă principiile smart (digitalizare, interoperabilitate, participare, eficiență, adaptabilitate), în raportcu obiectivele generale ale unei comunități inteligente.</w:t>
            </w:r>
            <w:r>
              <w:rPr>
                <w:rFonts w:ascii="Cambria Bold" w:hAnsi="Cambria Bold"/>
                <w:b/>
                <w:sz w:val="24"/>
              </w:rPr>
              <w:t>Documente obligatorii:</w:t>
            </w:r>
            <w:r>
              <w:rPr>
                <w:rFonts w:ascii="Cambria" w:hAnsi="Cambria"/>
                <w:b w:val="false"/>
                <w:sz w:val="24"/>
              </w:rPr>
              <w:t>MJ/SF/PT/DALI  care să cuprindă:</w:t>
            </w:r>
          </w:p>
          <w:p>
            <w:pPr>
              <w:pStyle w:val="ListParagraph"/>
              <w:numPr>
                <w:ilvl w:val="0"/>
                <w:numId w:val="2"/>
              </w:numPr>
            </w:pPr>
            <w:r>
              <w:rPr>
                <w:rFonts w:ascii="Cambria" w:hAnsi="Cambria"/>
                <w:b w:val="false"/>
                <w:sz w:val="24"/>
              </w:rPr>
              <w:t>Descrierea detaliată a soluției propuse, cu evidențierea aspectelor considerate inovatoare.</w:t>
            </w:r>
          </w:p>
          <w:p>
            <w:pPr>
              <w:pStyle w:val="ListParagraph"/>
              <w:numPr>
                <w:ilvl w:val="0"/>
                <w:numId w:val="2"/>
              </w:numPr>
            </w:pPr>
            <w:r>
              <w:rPr>
                <w:rFonts w:ascii="Cambria" w:hAnsi="Cambria"/>
                <w:b w:val="false"/>
                <w:sz w:val="24"/>
              </w:rPr>
              <w:t>Argumentație scrisă privind diferențierea față de soluții clasice, care să includă exemple concrete de practici curente și modul în care soluția propusă oferă un avantajsau o valoare adăugată.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În cazul parteneriatelor, acestea vor fi formate din cel puțin 3 entități relevante pentru domeniul proiectului (administrații publice locale, ONG-uri, unități de învățământ, universități etc.)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evaluează componența parteneriatului în acordul de parteneriat depus.</w:t>
            </w:r>
          </w:p>
          <w:p>
            <w:pPr>
              <w:spacing w:line="360" w:lineRule="auto"/>
              <w:ind w:left="0" w:right="0" w:firstLine="493"/>
            </w:pPr>
            <w:r>
              <w:rPr>
                <w:rFonts w:ascii="Cambria" w:hAnsi="Cambria"/>
                <w:b w:val="false"/>
                <w:sz w:val="24"/>
              </w:rPr>
              <w:t>- Se verifică relevanța fiecărui partener în raport cu domeniul proiectului.</w:t>
            </w:r>
          </w:p>
          <w:p>
            <w:pPr>
              <w:spacing w:line="360" w:lineRule="auto"/>
              <w:ind w:left="0" w:right="0" w:firstLine="493"/>
            </w:pPr>
            <w:r>
              <w:rPr>
                <w:rFonts w:ascii="Cambria" w:hAnsi="Cambria"/>
                <w:b w:val="false"/>
                <w:sz w:val="24"/>
              </w:rPr>
              <w:t>- Se verifică documentele doveditoare privind personalitatea juridică și activitatea partenerilor.</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Acord de parteneriat semnat de toate părțile.</w:t>
            </w:r>
          </w:p>
          <w:p>
            <w:pPr>
              <w:spacing w:line="360" w:lineRule="auto"/>
              <w:ind w:left="0" w:right="0" w:firstLine="493"/>
            </w:pPr>
            <w:r>
              <w:rPr>
                <w:rFonts w:ascii="Cambria" w:hAnsi="Cambria"/>
                <w:b w:val="false"/>
                <w:sz w:val="24"/>
              </w:rPr>
              <w:t>- Documente de înființare ale partenerilor (statut, certificat de înregistrare).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revitalizării spațiilor abandonate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CS1.1  </w:t>
            </w:r>
          </w:p>
        </w:tc>
        <w:tc>
          <w:tcPr>
            <w:shd w:val="clear" w:color="auto" w:fill="F8ECD2"/>
            <w:vAlign w:val="center"/>
          </w:tcPr>
          <w:p>
            <w:r>
              <w:rPr>
                <w:rFonts w:ascii="Cambria" w:hAnsi="Cambria"/>
                <w:b w:val="false"/>
                <w:color w:val="58400C"/>
                <w:sz w:val="24"/>
              </w:rPr>
              <w:t>Proiectul prevede reabilitarea, transformarea sau reutilizarea unei clădiri abandonate/nefolosite.Prin acest criteriu se încurajează valorificarea fondului construit existent prin transformarea sau reutilizarea unor clădiri abandonate sau nefolosite, indiferent de natura sau proprietatea acestora. Se urmărește astfel reintegrarea în circuitul comunitar, educațional sau creativ a unor spații care și-au pierdut funcționalitatea inițială și care, prin intervenții adecvate, pot deveni resurse valoroase pentru comunitate.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pStyle w:val="ListParagraph"/>
              <w:numPr>
                <w:ilvl w:val="0"/>
                <w:numId w:val="2"/>
              </w:numPr>
            </w:pPr>
            <w:r>
              <w:rPr>
                <w:rFonts w:ascii="Cambria" w:hAnsi="Cambria"/>
                <w:b w:val="false"/>
                <w:sz w:val="24"/>
              </w:rPr>
              <w:t>Se verifică locația de implementare a proiectului și statutul actual al spațiului (neutilizat/abandonat).</w:t>
            </w:r>
          </w:p>
          <w:p>
            <w:pPr>
              <w:pStyle w:val="ListParagraph"/>
              <w:numPr>
                <w:ilvl w:val="0"/>
                <w:numId w:val="2"/>
              </w:numPr>
            </w:pPr>
            <w:r>
              <w:rPr>
                <w:rFonts w:ascii="Cambria" w:hAnsi="Cambria"/>
                <w:b w:val="false"/>
                <w:sz w:val="24"/>
              </w:rPr>
              <w:t>Se analizează dacă scopul reabilitării este comunitar, educațional sau creativ.</w:t>
            </w:r>
          </w:p>
          <w:p>
            <w:pPr>
              <w:spacing w:line="360" w:lineRule="auto"/>
              <w:ind w:left="0" w:right="0" w:firstLine="493"/>
            </w:pPr>
            <w:r>
              <w:rPr>
                <w:rFonts w:ascii="Cambria Bold" w:hAnsi="Cambria Bold"/>
                <w:b/>
                <w:sz w:val="24"/>
              </w:rPr>
              <w:t>Documente obligatorii:</w:t>
            </w:r>
          </w:p>
          <w:p>
            <w:pPr>
              <w:pStyle w:val="ListParagraph"/>
              <w:numPr>
                <w:ilvl w:val="0"/>
                <w:numId w:val="3"/>
              </w:numPr>
            </w:pPr>
            <w:r>
              <w:rPr>
                <w:rFonts w:ascii="Cambria" w:hAnsi="Cambria"/>
                <w:b w:val="false"/>
                <w:sz w:val="24"/>
              </w:rPr>
              <w:t>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încurajării spațiilor colaborative/de creație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CS2.1</w:t>
            </w:r>
          </w:p>
        </w:tc>
        <w:tc>
          <w:tcPr>
            <w:shd w:val="clear" w:color="auto" w:fill="F8ECD2"/>
            <w:vAlign w:val="center"/>
          </w:tcPr>
          <w:p>
            <w:r>
              <w:rPr>
                <w:rFonts w:ascii="Cambria" w:hAnsi="Cambria"/>
                <w:b w:val="false"/>
                <w:color w:val="58400C"/>
                <w:sz w:val="24"/>
              </w:rPr>
              <w:t>Proiectul propune amenajarea unui spațiu colaborativ (coworking, maker space, hub rural, atelier etc.).Prin acest criteriu se promovează dezvoltarea de spații colaborative moderne care sprijină inovația, creativitatea, învățarea aplicată și cooperarea la nivel local. Spațiile de tip coworking, maker space sau ateliere multifuncționale oferă infrastructura necesară pentru desfășurarea unor activități variate — de la antreprenoriat local, formare profesională, dezvoltare de produse și prototipuri, până la organizarea de evenimente educaționale și sociale. Prin amenajarea unor astfel de spații, proiectul contribuie la diversificarea oportunităților economice și sociale, stimulează implicarea tinerilor, susține afacerile mici, meșteșugarii, inițiativele creative și activitatea organizațiilor non-profit, facilitând totodată colaborarea între diferiți actori ai comunității.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Bold" w:hAnsi="Cambria Bold"/>
                <w:b/>
                <w:sz w:val="24"/>
              </w:rPr>
              <w:t>Metodologie de verificare:</w:t>
            </w:r>
          </w:p>
          <w:p>
            <w:pPr>
              <w:pStyle w:val="ListParagraph"/>
              <w:numPr>
                <w:ilvl w:val="0"/>
                <w:numId w:val="2"/>
              </w:numPr>
            </w:pPr>
            <w:r>
              <w:rPr>
                <w:rFonts w:ascii="Cambria" w:hAnsi="Cambria"/>
                <w:b w:val="false"/>
                <w:sz w:val="24"/>
              </w:rPr>
              <w:t>Se identifică în proiect destinația și dotările spațiului colaborativ.</w:t>
            </w:r>
          </w:p>
          <w:p>
            <w:pPr>
              <w:pStyle w:val="ListParagraph"/>
              <w:numPr>
                <w:ilvl w:val="0"/>
                <w:numId w:val="2"/>
              </w:numPr>
            </w:pPr>
            <w:r>
              <w:rPr>
                <w:rFonts w:ascii="Cambria" w:hAnsi="Cambria"/>
                <w:b w:val="false"/>
                <w:sz w:val="24"/>
              </w:rPr>
              <w:t>Se analizează tipul de activități propuse și beneficiarii vizați.</w:t>
            </w:r>
          </w:p>
          <w:p>
            <w:r>
              <w:rPr>
                <w:rFonts w:ascii="Cambria Bold" w:hAnsi="Cambria Bold"/>
                <w:b/>
                <w:sz w:val="24"/>
              </w:rPr>
              <w:t>Documente obligatorii:</w:t>
            </w:r>
          </w:p>
          <w:p>
            <w:pPr>
              <w:pStyle w:val="ListParagraph"/>
              <w:numPr>
                <w:ilvl w:val="0"/>
                <w:numId w:val="4"/>
              </w:numPr>
            </w:pPr>
            <w:r>
              <w:rPr>
                <w:rFonts w:ascii="Cambria" w:hAnsi="Cambria"/>
                <w:b w:val="false"/>
                <w:sz w:val="24"/>
              </w:rPr>
              <w:t>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inițiativelor de educație și conștientizare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CS3.1</w:t>
            </w:r>
          </w:p>
        </w:tc>
        <w:tc>
          <w:tcPr>
            <w:shd w:val="clear" w:color="auto" w:fill="F8ECD2"/>
            <w:vAlign w:val="center"/>
          </w:tcPr>
          <w:p>
            <w:r>
              <w:rPr>
                <w:rFonts w:ascii="Cambria" w:hAnsi="Cambria"/>
                <w:b w:val="false"/>
                <w:color w:val="58400C"/>
                <w:sz w:val="24"/>
              </w:rPr>
              <w:t>Proiectul include activități educaționale sau de conștientizare dedicate publicului.Prin acest criteriu se încurajează includerea în proiect a unor activități educaționale, de formare sau de conștientizare care vizează informarea, implicarea și dezvoltarea competențelor publicului larg, a anumitor grupuri-țintă sau a membrilor comunității. Astfel de activități contribuie la creșterea gradului de informare asupra unor teme relevante pentru dezvoltarea locală (ex. protecția mediului, digitalizare, antreprenoriat, sănătate, implicare civică, siguranță etc.), la dobândirea de cunoștințe și abilități noi de către participanți, precum și la consolidarea coeziunii sociale. Proiectele care includ astfel de componente sprijină dezvoltarea capitalului uman și social al comunității și asigură sustenabilitatea rezultatelor prin creșterea gradului de participare și responsabilizare a cetățenilor.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de verificare:</w:t>
            </w:r>
          </w:p>
          <w:p>
            <w:pPr>
              <w:pStyle w:val="ListParagraph"/>
              <w:numPr>
                <w:ilvl w:val="0"/>
                <w:numId w:val="2"/>
              </w:numPr>
            </w:pPr>
            <w:r>
              <w:rPr>
                <w:rFonts w:ascii="Cambria" w:hAnsi="Cambria"/>
                <w:b w:val="false"/>
                <w:sz w:val="24"/>
              </w:rPr>
              <w:t>Se identifică acțiunile educaționale în planul de activități.</w:t>
            </w:r>
          </w:p>
          <w:p>
            <w:pPr>
              <w:pStyle w:val="ListParagraph"/>
              <w:numPr>
                <w:ilvl w:val="0"/>
                <w:numId w:val="2"/>
              </w:numPr>
            </w:pPr>
            <w:r>
              <w:rPr>
                <w:rFonts w:ascii="Cambria" w:hAnsi="Cambria"/>
                <w:b w:val="false"/>
                <w:sz w:val="24"/>
              </w:rPr>
              <w:t>Se verifică tipul de beneficiari (tineri, adulți, grupuri vulnerabile).</w:t>
            </w:r>
          </w:p>
          <w:p>
            <w:r>
              <w:rPr>
                <w:rFonts w:ascii="Cambria" w:hAnsi="Cambria"/>
                <w:b w:val="false"/>
                <w:sz w:val="24"/>
              </w:rPr>
              <w:t>Documente obligatorii:</w:t>
            </w:r>
          </w:p>
          <w:p>
            <w:pPr>
              <w:pStyle w:val="ListParagraph"/>
              <w:numPr>
                <w:ilvl w:val="0"/>
                <w:numId w:val="5"/>
              </w:numPr>
            </w:pPr>
            <w:r>
              <w:rPr>
                <w:rFonts w:ascii="Cambria" w:hAnsi="Cambria"/>
                <w:b w:val="false"/>
                <w:sz w:val="24"/>
              </w:rPr>
              <w:t>- 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eco-eficienței și a practicilor sustenabile</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CS4.1</w:t>
            </w:r>
          </w:p>
        </w:tc>
        <w:tc>
          <w:tcPr>
            <w:shd w:val="clear" w:color="auto" w:fill="F8ECD2"/>
            <w:vAlign w:val="center"/>
          </w:tcPr>
          <w:p>
            <w:r>
              <w:rPr>
                <w:rFonts w:ascii="Cambria" w:hAnsi="Cambria"/>
                <w:b w:val="false"/>
                <w:color w:val="58400C"/>
                <w:sz w:val="24"/>
              </w:rPr>
              <w:t>Proiectul include activități educaționale sau de conștientizare dedicate publicului.Prin acest criteriu se încurajează includerea în proiect a unor activități educaționale, de formare sau de conștientizare care vizează informarea, implicarea și dezvoltarea competențelor publicului larg, a anumitor grupuri-țintă sau a membrilor comunității. Astfel de activități contribuie la creșterea gradului de informare asupra unor teme relevante pentru dezvoltarea locală (ex. protecția mediului, digitalizare, antreprenoriat, sănătate, implicare civică, siguranță etc.), la dobândirea de cunoștințe și abilități noi de către participanți, precum și la consolidarea coeziunii sociale. Proiectele care includ astfel de componente sprijină dezvoltarea capitalului uman și social al comunității și asigură sustenabilitatea rezultatelor prin creșterea gradului de participare și responsabilizare a cetățenilor. </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Proiectul trebuie să demonstreze în mod clar că promovează sau integrează cel puțin una dintre următoarele abordări:</w:t>
            </w:r>
          </w:p>
          <w:p>
            <w:pPr>
              <w:spacing w:line="360" w:lineRule="auto"/>
              <w:ind w:left="0" w:right="0" w:firstLine="493"/>
            </w:pPr>
            <w:r>
              <w:rPr>
                <w:rFonts w:ascii="Cambria" w:hAnsi="Cambria"/>
                <w:b w:val="false"/>
                <w:sz w:val="24"/>
              </w:rPr>
              <w:t>- Eco-eficiență – prin soluții care optimizează utilizarea resurselor și reduc impactul asupra mediului;</w:t>
            </w:r>
          </w:p>
          <w:p>
            <w:pPr>
              <w:spacing w:line="360" w:lineRule="auto"/>
              <w:ind w:left="0" w:right="0" w:firstLine="493"/>
            </w:pPr>
            <w:r>
              <w:rPr>
                <w:rFonts w:ascii="Cambria" w:hAnsi="Cambria"/>
                <w:b w:val="false"/>
                <w:sz w:val="24"/>
              </w:rPr>
              <w:t>- Tehnologii verzi sau nepoluante – prin alegerea unor echipamente sau metode de lucru sustenabile;</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 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parteneriatelor</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CS5.1</w:t>
            </w:r>
          </w:p>
        </w:tc>
        <w:tc>
          <w:tcPr>
            <w:shd w:val="clear" w:color="auto" w:fill="F8ECD2"/>
            <w:vAlign w:val="center"/>
          </w:tcPr>
          <w:p>
            <w:r>
              <w:rPr>
                <w:rFonts w:ascii="Cambria" w:hAnsi="Cambria"/>
                <w:b w:val="false"/>
                <w:color w:val="58400C"/>
                <w:sz w:val="24"/>
              </w:rPr>
              <w:t>Proiectul este implementat în parteneriat între cel puțin patru entități relevante pentru domeniul proiectului (administrații publice locale, ONG-uri, unități de învățământ și alte entități relevante pentru proiect).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de verificare:- Se verifică existența unui acord de parteneriat.- Se confirmă relevanța ambelor entități pentru domeniul proiectului.Documente obligatorii:- Acord de parteneriat semnat.- Documente de înregistrare juridică ale partenerilor.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Principiul punerii în valoare a patrimoniului local</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CS6.1</w:t>
            </w:r>
          </w:p>
        </w:tc>
        <w:tc>
          <w:tcPr>
            <w:shd w:val="clear" w:color="auto" w:fill="F8ECD2"/>
            <w:vAlign w:val="center"/>
          </w:tcPr>
          <w:p>
            <w:pPr>
              <w:spacing w:line="360" w:lineRule="auto"/>
              <w:ind w:left="0" w:right="0" w:firstLine="493"/>
            </w:pPr>
            <w:r>
              <w:rPr>
                <w:rFonts w:ascii="Cambria" w:hAnsi="Cambria"/>
                <w:b w:val="false"/>
                <w:color w:val="58400C"/>
                <w:sz w:val="24"/>
              </w:rPr>
              <w:t>Proiectul contribuie la valorificarea patrimoniului natural sau construit. </w:t>
            </w:r>
          </w:p>
          <w:p>
            <w:r>
              <w:rPr>
                <w:rFonts w:ascii="Cambria" w:hAnsi="Cambria"/>
                <w:b w:val="false"/>
                <w:color w:val="58400C"/>
                <w:sz w:val="24"/>
              </w:rPr>
              <w:t>Prin acest criteriu se încurajează proiectele care contribuie la protejarea, conservarea, valorificarea și transmiterea patrimoniului natural, construit sau imaterial al comunității. Valorificarea patrimoniului poate viza atât elemente naturale, cum sunt peisajele, habitatele, biodiversitatea, ariile protejate sau zonele verzi, cât și elemente construite, precum clădirile tradiționale, ansamblurile arhitecturale, infrastructurile locale cu valoare istorică sau de identitate comunitară. Totodată, sunt avute în vedere și elementele de patrimoniu imaterial, respectiv tradiții locale, meșteșuguri, gastronomie tradițională, obiceiuri, practici culturale și sociale sau cunoștințe tradiționale legate de mediu și resurse naturale. Proiectele care includ astfel de componente sprijină păstrarea identității locale, transmiterea valorilor către noile generații, diversificarea activităților economice, inclusiv a turismului sustenabil, precum și întărirea coeziunii comunitare și a sentimentului de apartenență.</w:t>
            </w:r>
            <w:r>
              <w:rPr>
                <w:rFonts w:ascii="Cambria" w:hAnsi="Cambria"/>
                <w:b w:val="false"/>
                <w:color w:val="58400C"/>
                <w:sz w:val="24"/>
              </w:rPr>
              <w:t> </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r>
              <w:rPr>
                <w:rFonts w:ascii="Cambria Bold" w:hAnsi="Cambria Bold"/>
                <w:b/>
                <w:sz w:val="24"/>
              </w:rPr>
              <w:t>Metodologie de verificare:</w:t>
            </w:r>
          </w:p>
          <w:p>
            <w:pPr>
              <w:pStyle w:val="ListParagraph"/>
              <w:numPr>
                <w:ilvl w:val="0"/>
                <w:numId w:val="2"/>
              </w:numPr>
            </w:pPr>
            <w:r>
              <w:rPr>
                <w:rFonts w:ascii="Cambria" w:hAnsi="Cambria"/>
                <w:b w:val="false"/>
                <w:sz w:val="24"/>
              </w:rPr>
              <w:t>Se identifică dacă proiectul include elemente de patrimoniu.</w:t>
            </w:r>
          </w:p>
          <w:p>
            <w:pPr>
              <w:pStyle w:val="ListParagraph"/>
              <w:numPr>
                <w:ilvl w:val="0"/>
                <w:numId w:val="2"/>
              </w:numPr>
            </w:pPr>
            <w:r>
              <w:rPr>
                <w:rFonts w:ascii="Cambria" w:hAnsi="Cambria"/>
                <w:b w:val="false"/>
                <w:sz w:val="24"/>
              </w:rPr>
              <w:t>Se analizează modul în care acestea sunt promovate sau conservate.</w:t>
            </w:r>
          </w:p>
          <w:p>
            <w:r>
              <w:rPr>
                <w:rFonts w:ascii="Cambria Bold" w:hAnsi="Cambria Bold"/>
                <w:b/>
                <w:sz w:val="24"/>
              </w:rPr>
              <w:t>Documente obligatorii:</w:t>
            </w:r>
          </w:p>
          <w:p>
            <w:pPr>
              <w:pStyle w:val="ListParagraph"/>
              <w:numPr>
                <w:ilvl w:val="0"/>
                <w:numId w:val="6"/>
              </w:numPr>
            </w:pPr>
            <w:r>
              <w:rPr>
                <w:rFonts w:ascii="Cambria" w:hAnsi="Cambria"/>
                <w:b w:val="false"/>
                <w:sz w:val="24"/>
              </w:rPr>
              <w:t>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7</w:t>
            </w:r>
            <w:r>
              <w:rPr>
                <w:rFonts w:ascii="Cambria" w:hAnsi="Cambria"/>
                <w:b w:val="false"/>
                <w:color w:val="014935"/>
                <w:sz w:val="24"/>
              </w:rPr>
              <w:t>   </w:t>
            </w:r>
            <w:r>
              <w:rPr>
                <w:rFonts w:ascii="Cambria Bold" w:hAnsi="Cambria Bold"/>
                <w:b/>
                <w:color w:val="014935"/>
                <w:sz w:val="24"/>
              </w:rPr>
              <w:t>Principiul integrării turismului, artei și culturii locale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CS7.1</w:t>
            </w:r>
          </w:p>
        </w:tc>
        <w:tc>
          <w:tcPr>
            <w:shd w:val="clear" w:color="auto" w:fill="F8ECD2"/>
            <w:vAlign w:val="center"/>
          </w:tcPr>
          <w:p>
            <w:r>
              <w:rPr>
                <w:rFonts w:ascii="Cambria" w:hAnsi="Cambria"/>
                <w:b w:val="false"/>
                <w:color w:val="58400C"/>
                <w:sz w:val="24"/>
              </w:rPr>
              <w:t>Proiectul integrează activități și componente ce valorifică potențialul turistic, artistic și cultural local, ca elemente esențiale pentru dezvoltarea durabilă a comunității.Se urmărește stimularea creativității locale, punerea în valoare a identității culturale, promovarea artiștilor locali, păstrarea și transmiterea tradițiilor și obiceiurilor, precum și dezvoltarea unor forme de turism sustenabil, care respectă specificul și resursele comunității. Proiectele care combină turismul cu arta și cultura contribuie la diversificarea economiei locale, la creșterea vizibilității zonei, la atragerea vizitatorilor și la implicarea activă a locuitorilor în activități cu valoare educativă, economică și socială.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de verificare:</w:t>
            </w:r>
          </w:p>
          <w:p>
            <w:pPr>
              <w:pStyle w:val="ListParagraph"/>
              <w:numPr>
                <w:ilvl w:val="0"/>
                <w:numId w:val="2"/>
              </w:numPr>
            </w:pPr>
            <w:r>
              <w:rPr>
                <w:rFonts w:ascii="Cambria" w:hAnsi="Cambria"/>
                <w:b w:val="false"/>
                <w:sz w:val="24"/>
              </w:rPr>
              <w:t>Verificarea îndeplinirii criteriului se realizează prin analiza documentației depuse de solicitant, în baza informațiilor prezentate în cererea de finanțare și anexele acesteia. </w:t>
            </w:r>
          </w:p>
          <w:p>
            <w:pPr>
              <w:pStyle w:val="ListParagraph"/>
              <w:numPr>
                <w:ilvl w:val="0"/>
                <w:numId w:val="2"/>
              </w:numPr>
            </w:pPr>
            <w:r>
              <w:rPr>
                <w:rFonts w:ascii="Cambria" w:hAnsi="Cambria"/>
                <w:b w:val="false"/>
                <w:sz w:val="24"/>
              </w:rPr>
              <w:t>Se verifică descrierea detaliată a activităților culturale, artistice și turistice propuse prin proiect, cu indicarea obiectivelor concrete, a tematicilor abordate și a modului de desfășurare a acestora.</w:t>
            </w:r>
          </w:p>
          <w:p>
            <w:pPr>
              <w:pStyle w:val="ListParagraph"/>
              <w:numPr>
                <w:ilvl w:val="0"/>
                <w:numId w:val="2"/>
              </w:numPr>
            </w:pPr>
            <w:r>
              <w:rPr>
                <w:rFonts w:ascii="Cambria" w:hAnsi="Cambria"/>
                <w:b w:val="false"/>
                <w:sz w:val="24"/>
              </w:rPr>
              <w:t>Se verifică lista grupurilor-țintă vizate (ex.: comunitate locală, turiști, tineri, meșteșugari, artiști locali, public larg).</w:t>
            </w:r>
          </w:p>
          <w:p>
            <w:r>
              <w:rPr>
                <w:rFonts w:ascii="Cambria" w:hAnsi="Cambria"/>
                <w:b w:val="false"/>
                <w:sz w:val="24"/>
              </w:rPr>
              <w:t>Documente obligatorii:</w:t>
            </w:r>
          </w:p>
          <w:p>
            <w:pPr>
              <w:pStyle w:val="ListParagraph"/>
              <w:numPr>
                <w:ilvl w:val="0"/>
                <w:numId w:val="7"/>
              </w:numPr>
            </w:pPr>
            <w:r>
              <w:rPr>
                <w:rFonts w:ascii="Cambria" w:hAnsi="Cambria"/>
                <w:b w:val="false"/>
                <w:sz w:val="24"/>
              </w:rPr>
              <w:t>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8</w:t>
            </w:r>
            <w:r>
              <w:rPr>
                <w:rFonts w:ascii="Cambria" w:hAnsi="Cambria"/>
                <w:b w:val="false"/>
                <w:color w:val="014935"/>
                <w:sz w:val="24"/>
              </w:rPr>
              <w:t>   </w:t>
            </w:r>
            <w:r>
              <w:rPr>
                <w:rFonts w:ascii="Cambria Bold" w:hAnsi="Cambria Bold"/>
                <w:b/>
                <w:color w:val="014935"/>
                <w:sz w:val="24"/>
              </w:rPr>
              <w:t>Principiul promovării economiei circulare</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CS8.1</w:t>
            </w:r>
          </w:p>
        </w:tc>
        <w:tc>
          <w:tcPr>
            <w:shd w:val="clear" w:color="auto" w:fill="F8ECD2"/>
            <w:vAlign w:val="center"/>
          </w:tcPr>
          <w:p>
            <w:r>
              <w:rPr>
                <w:rFonts w:ascii="Cambria" w:hAnsi="Cambria"/>
                <w:b w:val="false"/>
                <w:color w:val="58400C"/>
                <w:sz w:val="24"/>
              </w:rPr>
              <w:t>Proiectul integrează principii ale economiei circulare în activitățile propuse, contribuind la utilizarea eficientă și responsabilă a resurselor locale.Economia circulară vizează reducerea consumului de materii prime, prelungirea duratei de viață a produselor și materialelor, reutilizarea, repararea, reciclarea, valorificarea deșeurilor și prevenirea generării acestora. Proiectele care aplică aceste principii contribuie la diminuarea impactului asupra mediului, la reducerea costurilor pe termen lung, la inovare tehnologică și la dezvoltarea unor modele economice sustenabile, adaptate nevoilor comunității locale. Integrarea economiei circulare sprijină tranziția către un model de dezvoltare responsabilă, în care resursele sunt păstrate cât mai mult timp în circuitul economic și social. </w:t>
            </w:r>
          </w:p>
        </w:tc>
        <w:tc>
          <w:tcPr>
            <w:vAlign w:val="center"/>
          </w:tcPr>
          <w:p>
            <w:pPr>
              <w:keepNext/>
              <w:jc w:val="center"/>
            </w:pPr>
            <w:r>
              <w:rPr>
                <w:rFonts w:ascii="Cambria" w:hAnsi="Cambria"/>
                <w:b w:val="false"/>
                <w:sz w:val="24"/>
              </w:rPr>
              <w:t>5</w:t>
            </w:r>
          </w:p>
        </w:tc>
        <w:tc>
          <w:tcPr>
            <w:vAlign w:val="center"/>
          </w:tcPr>
          <w:p/>
        </w:tc>
        <w:tc>
          <w:tcPr>
            <w:vAlign w:val="center"/>
          </w:tcPr>
          <w:p/>
        </w:tc>
      </w:tr>
      <w:tr>
        <w:trPr/>
        <w:tc>
          <w:tcPr>
            <w:gridSpan w:val="5"/>
            <w:shd w:val="clear" w:color="auto" w:fill="DDDDDD"/>
            <w:vAlign w:val="center"/>
          </w:tcPr>
          <w:p>
            <w:r>
              <w:rPr>
                <w:rFonts w:ascii="Cambria Bold" w:hAnsi="Cambria Bold"/>
                <w:b/>
                <w:sz w:val="24"/>
              </w:rPr>
              <w:t>Metodologie de verificare:</w:t>
            </w:r>
          </w:p>
          <w:p>
            <w:pPr>
              <w:pStyle w:val="ListParagraph"/>
              <w:numPr>
                <w:ilvl w:val="0"/>
                <w:numId w:val="2"/>
              </w:numPr>
            </w:pPr>
            <w:r>
              <w:rPr>
                <w:rFonts w:ascii="Cambria" w:hAnsi="Cambria"/>
                <w:b w:val="false"/>
                <w:sz w:val="24"/>
              </w:rPr>
              <w:t>Verificarea îndeplinirii criteriului privind integrarea principiilor economiei circulare se realizează prin analiza informațiilor prezentate de solicitant în cererea de finanțare și în documentele anexate. Se va urmări modul în care proiectul propune soluții concrete pentru reducerea consumului de resurse, prevenirea și gestionarea deșeurilor, reutilizarea materialelor și introducerea unor practici sustenabile în activitățile prevăzute.</w:t>
            </w:r>
          </w:p>
          <w:p>
            <w:r>
              <w:rPr>
                <w:rFonts w:ascii="Cambria Bold" w:hAnsi="Cambria Bold"/>
                <w:b/>
                <w:sz w:val="24"/>
              </w:rPr>
              <w:t>Documente obligatorii:</w:t>
            </w:r>
          </w:p>
          <w:p>
            <w:pPr>
              <w:pStyle w:val="ListParagraph"/>
              <w:numPr>
                <w:ilvl w:val="0"/>
                <w:numId w:val="8"/>
              </w:numPr>
            </w:pPr>
            <w:r>
              <w:rPr>
                <w:rFonts w:ascii="Cambria" w:hAnsi="Cambria"/>
                <w:b w:val="false"/>
                <w:sz w:val="24"/>
              </w:rPr>
              <w:t>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Proiectul propune amenajarea unui spațiu colaborativ (coworking, maker space, atelier etc.).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Conform metodologiei aferenre criteriului CS2.1.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a60e6b0b18bb482d" /><Relationship Type="http://schemas.openxmlformats.org/officeDocument/2006/relationships/numbering" Target="/word/numbering.xml" Id="Rd249b33a78b2400c" /></Relationships>
</file>